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D30" w:rsidRPr="00532D30" w:rsidRDefault="00532D30" w:rsidP="00532D30">
      <w:pPr>
        <w:shd w:val="clear" w:color="auto" w:fill="FFFFFF"/>
        <w:spacing w:after="0" w:line="240" w:lineRule="auto"/>
        <w:rPr>
          <w:rFonts w:ascii="Century Gothic" w:eastAsia="Times New Roman" w:hAnsi="Century Gothic" w:cs="Times New Roman"/>
          <w:color w:val="172C3D"/>
          <w:sz w:val="15"/>
          <w:szCs w:val="15"/>
          <w:lang w:eastAsia="en-AU"/>
        </w:rPr>
      </w:pPr>
      <w:r w:rsidRPr="00532D30">
        <w:rPr>
          <w:rFonts w:ascii="Century Gothic" w:eastAsia="Times New Roman" w:hAnsi="Century Gothic" w:cs="Times New Roman"/>
          <w:color w:val="172C3D"/>
          <w:sz w:val="15"/>
          <w:szCs w:val="15"/>
          <w:lang w:eastAsia="en-AU"/>
        </w:rPr>
        <w:t>30 Mar 15 - 11:12</w:t>
      </w:r>
    </w:p>
    <w:p w:rsidR="00532D30" w:rsidRPr="00532D30" w:rsidRDefault="00532D30" w:rsidP="00532D30">
      <w:pPr>
        <w:shd w:val="clear" w:color="auto" w:fill="FFFFFF"/>
        <w:spacing w:after="0" w:line="240" w:lineRule="auto"/>
        <w:outlineLvl w:val="0"/>
        <w:rPr>
          <w:rFonts w:ascii="Century Gothic" w:eastAsia="Times New Roman" w:hAnsi="Century Gothic" w:cs="Times New Roman"/>
          <w:color w:val="172C3D"/>
          <w:kern w:val="36"/>
          <w:sz w:val="30"/>
          <w:szCs w:val="30"/>
          <w:lang w:eastAsia="en-AU"/>
        </w:rPr>
      </w:pPr>
      <w:r w:rsidRPr="00532D30">
        <w:rPr>
          <w:rFonts w:ascii="Century Gothic" w:eastAsia="Times New Roman" w:hAnsi="Century Gothic" w:cs="Times New Roman"/>
          <w:color w:val="172C3D"/>
          <w:kern w:val="36"/>
          <w:sz w:val="30"/>
          <w:szCs w:val="30"/>
          <w:lang w:eastAsia="en-AU"/>
        </w:rPr>
        <w:t>Safety and Shipping Review 2015</w:t>
      </w:r>
    </w:p>
    <w:p w:rsidR="00532D30" w:rsidRDefault="00BE547B" w:rsidP="00532D30">
      <w:pPr>
        <w:shd w:val="clear" w:color="auto" w:fill="FFFFFF"/>
        <w:spacing w:after="0" w:line="240" w:lineRule="auto"/>
        <w:outlineLvl w:val="1"/>
        <w:rPr>
          <w:rFonts w:ascii="Century Gothic" w:eastAsia="Times New Roman" w:hAnsi="Century Gothic" w:cs="Times New Roman"/>
          <w:color w:val="666666"/>
          <w:sz w:val="20"/>
          <w:szCs w:val="20"/>
          <w:lang w:eastAsia="en-AU"/>
        </w:rPr>
      </w:pPr>
      <w:r>
        <w:rPr>
          <w:rFonts w:ascii="Century Gothic" w:eastAsia="Times New Roman" w:hAnsi="Century Gothic" w:cs="Times New Roman"/>
          <w:color w:val="666666"/>
          <w:sz w:val="20"/>
          <w:szCs w:val="20"/>
          <w:lang w:eastAsia="en-AU"/>
        </w:rPr>
        <w:t xml:space="preserve">Report by Allianz unveils </w:t>
      </w:r>
      <w:r w:rsidR="00532D30" w:rsidRPr="00532D30">
        <w:rPr>
          <w:rFonts w:ascii="Century Gothic" w:eastAsia="Times New Roman" w:hAnsi="Century Gothic" w:cs="Times New Roman"/>
          <w:color w:val="666666"/>
          <w:sz w:val="20"/>
          <w:szCs w:val="20"/>
          <w:lang w:eastAsia="en-AU"/>
        </w:rPr>
        <w:t>trends and developments in shipping losses and safety during 2015</w:t>
      </w:r>
    </w:p>
    <w:p w:rsidR="00BE547B" w:rsidRPr="00532D30" w:rsidRDefault="00BE547B" w:rsidP="00532D30">
      <w:pPr>
        <w:shd w:val="clear" w:color="auto" w:fill="FFFFFF"/>
        <w:spacing w:after="0" w:line="240" w:lineRule="auto"/>
        <w:outlineLvl w:val="1"/>
        <w:rPr>
          <w:rFonts w:ascii="Century Gothic" w:eastAsia="Times New Roman" w:hAnsi="Century Gothic" w:cs="Times New Roman"/>
          <w:color w:val="666666"/>
          <w:sz w:val="20"/>
          <w:szCs w:val="20"/>
          <w:lang w:eastAsia="en-AU"/>
        </w:rPr>
      </w:pPr>
    </w:p>
    <w:p w:rsidR="00532D30" w:rsidRDefault="00532D30" w:rsidP="00532D30">
      <w:pPr>
        <w:shd w:val="clear" w:color="auto" w:fill="FFFFFF"/>
        <w:spacing w:after="0" w:line="240" w:lineRule="auto"/>
        <w:rPr>
          <w:rFonts w:ascii="Century Gothic" w:eastAsia="Times New Roman" w:hAnsi="Century Gothic" w:cs="Times New Roman"/>
          <w:color w:val="000000"/>
          <w:sz w:val="27"/>
          <w:szCs w:val="27"/>
          <w:lang w:eastAsia="en-AU"/>
        </w:rPr>
      </w:pPr>
      <w:r>
        <w:rPr>
          <w:rFonts w:ascii="Century Gothic" w:eastAsia="Times New Roman" w:hAnsi="Century Gothic" w:cs="Times New Roman"/>
          <w:noProof/>
          <w:color w:val="000000"/>
          <w:sz w:val="27"/>
          <w:szCs w:val="27"/>
          <w:lang w:eastAsia="en-AU"/>
        </w:rPr>
        <w:drawing>
          <wp:inline distT="0" distB="0" distL="0" distR="0">
            <wp:extent cx="3954780" cy="2966085"/>
            <wp:effectExtent l="0" t="0" r="7620" b="5715"/>
            <wp:docPr id="5" name="Picture 5" descr="Safety and Shipping Review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ty and Shipping Review 20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4780" cy="2966085"/>
                    </a:xfrm>
                    <a:prstGeom prst="rect">
                      <a:avLst/>
                    </a:prstGeom>
                    <a:noFill/>
                    <a:ln>
                      <a:noFill/>
                    </a:ln>
                  </pic:spPr>
                </pic:pic>
              </a:graphicData>
            </a:graphic>
          </wp:inline>
        </w:drawing>
      </w:r>
    </w:p>
    <w:p w:rsidR="00532D30" w:rsidRPr="00532D30" w:rsidRDefault="00532D30" w:rsidP="00532D30">
      <w:pPr>
        <w:shd w:val="clear" w:color="auto" w:fill="FFFFFF"/>
        <w:spacing w:after="0" w:line="240" w:lineRule="auto"/>
        <w:rPr>
          <w:rFonts w:ascii="Century Gothic" w:eastAsia="Times New Roman" w:hAnsi="Century Gothic" w:cs="Times New Roman"/>
          <w:color w:val="000000"/>
          <w:sz w:val="27"/>
          <w:szCs w:val="27"/>
          <w:lang w:eastAsia="en-AU"/>
        </w:rPr>
      </w:pPr>
    </w:p>
    <w:p w:rsid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hyperlink r:id="rId7" w:tgtFrame="_blank" w:history="1">
        <w:r w:rsidRPr="00532D30">
          <w:rPr>
            <w:rFonts w:ascii="Century Gothic" w:eastAsia="Times New Roman" w:hAnsi="Century Gothic" w:cs="Times New Roman"/>
            <w:color w:val="52A9D4"/>
            <w:sz w:val="18"/>
            <w:szCs w:val="18"/>
            <w:lang w:eastAsia="en-AU"/>
          </w:rPr>
          <w:t>Allianz Global Corporate &amp; Specialty </w:t>
        </w:r>
      </w:hyperlink>
      <w:r w:rsidRPr="00532D30">
        <w:rPr>
          <w:rFonts w:ascii="Century Gothic" w:eastAsia="Times New Roman" w:hAnsi="Century Gothic" w:cs="Times New Roman"/>
          <w:color w:val="333333"/>
          <w:sz w:val="18"/>
          <w:szCs w:val="18"/>
          <w:lang w:eastAsia="en-AU"/>
        </w:rPr>
        <w:t>(AGCS) issued an annual review of trends and developments in shipping losses and safety, entitled as </w:t>
      </w:r>
      <w:r w:rsidRPr="00532D30">
        <w:rPr>
          <w:rFonts w:ascii="Century Gothic" w:eastAsia="Times New Roman" w:hAnsi="Century Gothic" w:cs="Times New Roman"/>
          <w:b/>
          <w:bCs/>
          <w:i/>
          <w:iCs/>
          <w:color w:val="333333"/>
          <w:sz w:val="18"/>
          <w:szCs w:val="18"/>
          <w:lang w:eastAsia="en-AU"/>
        </w:rPr>
        <w:t>'Safety and Shipping Review 2015'.</w:t>
      </w:r>
      <w:r w:rsidRPr="00532D30">
        <w:rPr>
          <w:rFonts w:ascii="Century Gothic" w:eastAsia="Times New Roman" w:hAnsi="Century Gothic" w:cs="Times New Roman"/>
          <w:color w:val="333333"/>
          <w:sz w:val="18"/>
          <w:szCs w:val="18"/>
          <w:lang w:eastAsia="en-AU"/>
        </w:rPr>
        <w:t xml:space="preserve"> This review focuses on key developments in maritime safety and </w:t>
      </w:r>
      <w:proofErr w:type="spellStart"/>
      <w:r w:rsidRPr="00532D30">
        <w:rPr>
          <w:rFonts w:ascii="Century Gothic" w:eastAsia="Times New Roman" w:hAnsi="Century Gothic" w:cs="Times New Roman"/>
          <w:color w:val="333333"/>
          <w:sz w:val="18"/>
          <w:szCs w:val="18"/>
          <w:lang w:eastAsia="en-AU"/>
        </w:rPr>
        <w:t>analyzes</w:t>
      </w:r>
      <w:proofErr w:type="spellEnd"/>
      <w:r w:rsidRPr="00532D30">
        <w:rPr>
          <w:rFonts w:ascii="Century Gothic" w:eastAsia="Times New Roman" w:hAnsi="Century Gothic" w:cs="Times New Roman"/>
          <w:color w:val="333333"/>
          <w:sz w:val="18"/>
          <w:szCs w:val="18"/>
          <w:lang w:eastAsia="en-AU"/>
        </w:rPr>
        <w:t xml:space="preserve"> shipping losses (of over 100 gross tons) during the 12 months prior to December 31, 2014. It follows the Safety and Shipping Review 2014, available </w:t>
      </w:r>
      <w:hyperlink r:id="rId8" w:tgtFrame="_blank" w:history="1">
        <w:r w:rsidRPr="00532D30">
          <w:rPr>
            <w:rFonts w:ascii="Century Gothic" w:eastAsia="Times New Roman" w:hAnsi="Century Gothic" w:cs="Times New Roman"/>
            <w:color w:val="52A9D4"/>
            <w:sz w:val="18"/>
            <w:szCs w:val="18"/>
            <w:lang w:eastAsia="en-AU"/>
          </w:rPr>
          <w:t>here</w:t>
        </w:r>
      </w:hyperlink>
    </w:p>
    <w:p w:rsidR="00BE547B" w:rsidRPr="00532D30" w:rsidRDefault="00BE547B"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bookmarkStart w:id="0" w:name="_GoBack"/>
      <w:bookmarkEnd w:id="0"/>
    </w:p>
    <w:tbl>
      <w:tblPr>
        <w:tblW w:w="6750" w:type="dxa"/>
        <w:tblCellSpacing w:w="15" w:type="dxa"/>
        <w:shd w:val="clear" w:color="auto" w:fill="F3F3F3"/>
        <w:tblCellMar>
          <w:top w:w="15" w:type="dxa"/>
          <w:left w:w="15" w:type="dxa"/>
          <w:bottom w:w="15" w:type="dxa"/>
          <w:right w:w="15" w:type="dxa"/>
        </w:tblCellMar>
        <w:tblLook w:val="04A0" w:firstRow="1" w:lastRow="0" w:firstColumn="1" w:lastColumn="0" w:noHBand="0" w:noVBand="1"/>
      </w:tblPr>
      <w:tblGrid>
        <w:gridCol w:w="6750"/>
      </w:tblGrid>
      <w:tr w:rsidR="00532D30" w:rsidRPr="00532D30" w:rsidTr="00532D30">
        <w:trPr>
          <w:tblCellSpacing w:w="15" w:type="dxa"/>
        </w:trPr>
        <w:tc>
          <w:tcPr>
            <w:tcW w:w="0" w:type="auto"/>
            <w:shd w:val="clear" w:color="auto" w:fill="F3F3F3"/>
            <w:vAlign w:val="center"/>
            <w:hideMark/>
          </w:tcPr>
          <w:p w:rsidR="00532D30" w:rsidRPr="00532D30" w:rsidRDefault="00532D30" w:rsidP="00532D30">
            <w:pPr>
              <w:spacing w:after="0" w:line="240" w:lineRule="auto"/>
              <w:rPr>
                <w:rFonts w:ascii="Times New Roman" w:eastAsia="Times New Roman" w:hAnsi="Times New Roman" w:cs="Times New Roman"/>
                <w:sz w:val="24"/>
                <w:szCs w:val="24"/>
                <w:lang w:eastAsia="en-AU"/>
              </w:rPr>
            </w:pPr>
            <w:r w:rsidRPr="00532D30">
              <w:rPr>
                <w:rFonts w:ascii="Times New Roman" w:eastAsia="Times New Roman" w:hAnsi="Times New Roman" w:cs="Times New Roman"/>
                <w:b/>
                <w:bCs/>
                <w:sz w:val="24"/>
                <w:szCs w:val="24"/>
                <w:lang w:eastAsia="en-AU"/>
              </w:rPr>
              <w:t>Highlights</w:t>
            </w:r>
          </w:p>
          <w:p w:rsidR="00532D30" w:rsidRPr="00532D30" w:rsidRDefault="00532D30" w:rsidP="00532D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532D30">
              <w:rPr>
                <w:rFonts w:ascii="Times New Roman" w:eastAsia="Times New Roman" w:hAnsi="Times New Roman" w:cs="Times New Roman"/>
                <w:b/>
                <w:bCs/>
                <w:sz w:val="24"/>
                <w:szCs w:val="24"/>
                <w:lang w:eastAsia="en-AU"/>
              </w:rPr>
              <w:t>75 large ships lost worldwide in 2014, down by a third year-on-year</w:t>
            </w:r>
          </w:p>
          <w:p w:rsidR="00532D30" w:rsidRPr="00532D30" w:rsidRDefault="00532D30" w:rsidP="00532D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532D30">
              <w:rPr>
                <w:rFonts w:ascii="Times New Roman" w:eastAsia="Times New Roman" w:hAnsi="Times New Roman" w:cs="Times New Roman"/>
                <w:b/>
                <w:bCs/>
                <w:sz w:val="24"/>
                <w:szCs w:val="24"/>
                <w:lang w:eastAsia="en-AU"/>
              </w:rPr>
              <w:t>South China and South East Asian waters top loss hotspots</w:t>
            </w:r>
          </w:p>
          <w:p w:rsidR="00532D30" w:rsidRPr="00532D30" w:rsidRDefault="00532D30" w:rsidP="00532D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532D30">
              <w:rPr>
                <w:rFonts w:ascii="Times New Roman" w:eastAsia="Times New Roman" w:hAnsi="Times New Roman" w:cs="Times New Roman"/>
                <w:b/>
                <w:bCs/>
                <w:sz w:val="24"/>
                <w:szCs w:val="24"/>
                <w:lang w:eastAsia="en-AU"/>
              </w:rPr>
              <w:t>Increasing size of container ships and floating offshore facilities could cause larger losses exceeding $1 billion</w:t>
            </w:r>
          </w:p>
          <w:p w:rsidR="00532D30" w:rsidRPr="00532D30" w:rsidRDefault="00532D30" w:rsidP="00532D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532D30">
              <w:rPr>
                <w:rFonts w:ascii="Times New Roman" w:eastAsia="Times New Roman" w:hAnsi="Times New Roman" w:cs="Times New Roman"/>
                <w:b/>
                <w:bCs/>
                <w:sz w:val="24"/>
                <w:szCs w:val="24"/>
                <w:lang w:eastAsia="en-AU"/>
              </w:rPr>
              <w:t>Cyber risks a growing concern in shipping sector, particularly around e-navigation</w:t>
            </w:r>
          </w:p>
          <w:p w:rsidR="00532D30" w:rsidRPr="00532D30" w:rsidRDefault="00532D30" w:rsidP="00532D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532D30">
              <w:rPr>
                <w:rFonts w:ascii="Times New Roman" w:eastAsia="Times New Roman" w:hAnsi="Times New Roman" w:cs="Times New Roman"/>
                <w:b/>
                <w:bCs/>
                <w:sz w:val="24"/>
                <w:szCs w:val="24"/>
                <w:lang w:eastAsia="en-AU"/>
              </w:rPr>
              <w:t>Crewing levels, Arctic shipping, the increase in human trafficking by sea and further geopolitical uncertainty create new industry risks</w:t>
            </w:r>
          </w:p>
        </w:tc>
      </w:tr>
    </w:tbl>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 </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 xml:space="preserve">Shipping losses continued their long-term downward trend with 75 reported worldwide in 2014, making it the safest year in shipping for 10 years, according to Allianz Global Corporate &amp; Specialty SE's (AGCS) third annual Safety and Shipping Review 2015, which </w:t>
      </w:r>
      <w:proofErr w:type="spellStart"/>
      <w:r w:rsidRPr="00532D30">
        <w:rPr>
          <w:rFonts w:ascii="Century Gothic" w:eastAsia="Times New Roman" w:hAnsi="Century Gothic" w:cs="Times New Roman"/>
          <w:color w:val="333333"/>
          <w:sz w:val="18"/>
          <w:szCs w:val="18"/>
          <w:lang w:eastAsia="en-AU"/>
        </w:rPr>
        <w:t>analyzes</w:t>
      </w:r>
      <w:proofErr w:type="spellEnd"/>
      <w:r w:rsidRPr="00532D30">
        <w:rPr>
          <w:rFonts w:ascii="Century Gothic" w:eastAsia="Times New Roman" w:hAnsi="Century Gothic" w:cs="Times New Roman"/>
          <w:color w:val="333333"/>
          <w:sz w:val="18"/>
          <w:szCs w:val="18"/>
          <w:lang w:eastAsia="en-AU"/>
        </w:rPr>
        <w:t xml:space="preserve"> reported shipping losses </w:t>
      </w:r>
      <w:proofErr w:type="gramStart"/>
      <w:r w:rsidRPr="00532D30">
        <w:rPr>
          <w:rFonts w:ascii="Century Gothic" w:eastAsia="Times New Roman" w:hAnsi="Century Gothic" w:cs="Times New Roman"/>
          <w:color w:val="333333"/>
          <w:sz w:val="18"/>
          <w:szCs w:val="18"/>
          <w:lang w:eastAsia="en-AU"/>
        </w:rPr>
        <w:t xml:space="preserve">of over 100 gross </w:t>
      </w:r>
      <w:proofErr w:type="spellStart"/>
      <w:r w:rsidRPr="00532D30">
        <w:rPr>
          <w:rFonts w:ascii="Century Gothic" w:eastAsia="Times New Roman" w:hAnsi="Century Gothic" w:cs="Times New Roman"/>
          <w:color w:val="333333"/>
          <w:sz w:val="18"/>
          <w:szCs w:val="18"/>
          <w:lang w:eastAsia="en-AU"/>
        </w:rPr>
        <w:t>tons.Safety</w:t>
      </w:r>
      <w:proofErr w:type="spellEnd"/>
      <w:proofErr w:type="gramEnd"/>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 xml:space="preserve">Losses declined by 32% compared with the previous year and were well below the 10-year loss average of 127. Since 2005 shipping losses have declined by 50%. More than a third of 2014's total losses were in two maritime regions. </w:t>
      </w:r>
      <w:proofErr w:type="gramStart"/>
      <w:r w:rsidRPr="00532D30">
        <w:rPr>
          <w:rFonts w:ascii="Century Gothic" w:eastAsia="Times New Roman" w:hAnsi="Century Gothic" w:cs="Times New Roman"/>
          <w:color w:val="333333"/>
          <w:sz w:val="18"/>
          <w:szCs w:val="18"/>
          <w:lang w:eastAsia="en-AU"/>
        </w:rPr>
        <w:t>South China, Indo China, Indonesia and the Philippines (17 ships) and Japan, Korea and North China (12 ships).</w:t>
      </w:r>
      <w:proofErr w:type="gramEnd"/>
      <w:r w:rsidRPr="00532D30">
        <w:rPr>
          <w:rFonts w:ascii="Century Gothic" w:eastAsia="Times New Roman" w:hAnsi="Century Gothic" w:cs="Times New Roman"/>
          <w:color w:val="333333"/>
          <w:sz w:val="18"/>
          <w:szCs w:val="18"/>
          <w:lang w:eastAsia="en-AU"/>
        </w:rPr>
        <w:t xml:space="preserve"> Cargo and fishing vessels accounted for over 50% of all losses.</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The most common cause of total losses is foundering (sinking/submerging), accounting for 65% of losses in 2014 (49). With 13 ships wrecked or stranded, grounding was the second most common cause with fires/explosions (4) third, but significantly down year-on-year.</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Pr>
          <w:rFonts w:ascii="Century Gothic" w:eastAsia="Times New Roman" w:hAnsi="Century Gothic" w:cs="Times New Roman"/>
          <w:noProof/>
          <w:color w:val="52A9D4"/>
          <w:sz w:val="18"/>
          <w:szCs w:val="18"/>
          <w:lang w:eastAsia="en-AU"/>
        </w:rPr>
        <w:lastRenderedPageBreak/>
        <w:drawing>
          <wp:inline distT="0" distB="0" distL="0" distR="0">
            <wp:extent cx="4290060" cy="4610100"/>
            <wp:effectExtent l="0" t="0" r="0" b="0"/>
            <wp:docPr id="4" name="Picture 4" descr="total losses by top 10 regions ">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tal losses by top 10 regions ">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0060" cy="4610100"/>
                    </a:xfrm>
                    <a:prstGeom prst="rect">
                      <a:avLst/>
                    </a:prstGeom>
                    <a:noFill/>
                    <a:ln>
                      <a:noFill/>
                    </a:ln>
                  </pic:spPr>
                </pic:pic>
              </a:graphicData>
            </a:graphic>
          </wp:inline>
        </w:drawing>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 xml:space="preserve">According to the report, there were 2,773 shipping incidents (casualties) globally (including total losses) during 2014. The East Mediterranean &amp; Black Sea region was the top hotspot (490), up 5% year-on-year. The British Isles, North Sea, English Channel and Bay of Biscay ranked second (465), up 29%, and </w:t>
      </w:r>
      <w:proofErr w:type="gramStart"/>
      <w:r w:rsidRPr="00532D30">
        <w:rPr>
          <w:rFonts w:ascii="Century Gothic" w:eastAsia="Times New Roman" w:hAnsi="Century Gothic" w:cs="Times New Roman"/>
          <w:color w:val="333333"/>
          <w:sz w:val="18"/>
          <w:szCs w:val="18"/>
          <w:lang w:eastAsia="en-AU"/>
        </w:rPr>
        <w:t>was</w:t>
      </w:r>
      <w:proofErr w:type="gramEnd"/>
      <w:r w:rsidRPr="00532D30">
        <w:rPr>
          <w:rFonts w:ascii="Century Gothic" w:eastAsia="Times New Roman" w:hAnsi="Century Gothic" w:cs="Times New Roman"/>
          <w:color w:val="333333"/>
          <w:sz w:val="18"/>
          <w:szCs w:val="18"/>
          <w:lang w:eastAsia="en-AU"/>
        </w:rPr>
        <w:t xml:space="preserve"> also the top incident hotspot over the past decade. December is the worst month for losses in the Northern Hemisphere and August in the Southern Hemisphere. For every total loss in the Southern Hemisphere there are 7 in the Northern Hemisphere.</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One vessel in the Great Lakes region of North America lays claim to the title of unluckiest ship. Analysis shows it has reportedly been involved in 19 incidents in the past 8 years - including six in one year. It has suffered a fire, engine failure, steering failure and even hit a submerged log.</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b/>
          <w:bCs/>
          <w:color w:val="333333"/>
          <w:sz w:val="18"/>
          <w:szCs w:val="18"/>
          <w:lang w:eastAsia="en-AU"/>
        </w:rPr>
        <w:t>Passenger ship safety and crew levels in the spotlight</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 xml:space="preserve">While the long-term downward trend in shipping losses is encouraging, recent casualties such as </w:t>
      </w:r>
      <w:proofErr w:type="spellStart"/>
      <w:r w:rsidRPr="00532D30">
        <w:rPr>
          <w:rFonts w:ascii="Century Gothic" w:eastAsia="Times New Roman" w:hAnsi="Century Gothic" w:cs="Times New Roman"/>
          <w:color w:val="333333"/>
          <w:sz w:val="18"/>
          <w:szCs w:val="18"/>
          <w:lang w:eastAsia="en-AU"/>
        </w:rPr>
        <w:t>Sewol</w:t>
      </w:r>
      <w:proofErr w:type="spellEnd"/>
      <w:r w:rsidRPr="00532D30">
        <w:rPr>
          <w:rFonts w:ascii="Century Gothic" w:eastAsia="Times New Roman" w:hAnsi="Century Gothic" w:cs="Times New Roman"/>
          <w:color w:val="333333"/>
          <w:sz w:val="18"/>
          <w:szCs w:val="18"/>
          <w:lang w:eastAsia="en-AU"/>
        </w:rPr>
        <w:t xml:space="preserve"> and Norman Atlantic have once again raised significant concerns over training and emergency preparedness on passenger ships three years after the Costa Concordia disaster. Seven passenger ships were lost during 2014, accounting for almost 10% of total losses. "</w:t>
      </w:r>
      <w:r w:rsidRPr="00532D30">
        <w:rPr>
          <w:rFonts w:ascii="Century Gothic" w:eastAsia="Times New Roman" w:hAnsi="Century Gothic" w:cs="Times New Roman"/>
          <w:i/>
          <w:iCs/>
          <w:color w:val="333333"/>
          <w:sz w:val="18"/>
          <w:szCs w:val="18"/>
          <w:lang w:eastAsia="en-AU"/>
        </w:rPr>
        <w:t>In many cases construction of the vessel is not the only weak point. These two incidents underline a worrying gap in crew training when it comes to emergency operations on ro-ro ferries or passenger ships</w:t>
      </w:r>
      <w:r w:rsidRPr="00532D30">
        <w:rPr>
          <w:rFonts w:ascii="Century Gothic" w:eastAsia="Times New Roman" w:hAnsi="Century Gothic" w:cs="Times New Roman"/>
          <w:color w:val="333333"/>
          <w:sz w:val="18"/>
          <w:szCs w:val="18"/>
          <w:lang w:eastAsia="en-AU"/>
        </w:rPr>
        <w:t xml:space="preserve">," said Sven Gerhard, Global Product Leader Hull &amp; Marine Liabilities, </w:t>
      </w:r>
      <w:proofErr w:type="gramStart"/>
      <w:r w:rsidRPr="00532D30">
        <w:rPr>
          <w:rFonts w:ascii="Century Gothic" w:eastAsia="Times New Roman" w:hAnsi="Century Gothic" w:cs="Times New Roman"/>
          <w:color w:val="333333"/>
          <w:sz w:val="18"/>
          <w:szCs w:val="18"/>
          <w:lang w:eastAsia="en-AU"/>
        </w:rPr>
        <w:t>AGCS</w:t>
      </w:r>
      <w:proofErr w:type="gramEnd"/>
      <w:r w:rsidRPr="00532D30">
        <w:rPr>
          <w:rFonts w:ascii="Century Gothic" w:eastAsia="Times New Roman" w:hAnsi="Century Gothic" w:cs="Times New Roman"/>
          <w:color w:val="333333"/>
          <w:sz w:val="18"/>
          <w:szCs w:val="18"/>
          <w:lang w:eastAsia="en-AU"/>
        </w:rPr>
        <w:t>.</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 xml:space="preserve">The general shipping trend for smaller crews means seafarers are being asked to do more with less. Minimum manning levels reduce the ability to train people </w:t>
      </w:r>
      <w:proofErr w:type="spellStart"/>
      <w:r w:rsidRPr="00532D30">
        <w:rPr>
          <w:rFonts w:ascii="Century Gothic" w:eastAsia="Times New Roman" w:hAnsi="Century Gothic" w:cs="Times New Roman"/>
          <w:color w:val="333333"/>
          <w:sz w:val="18"/>
          <w:szCs w:val="18"/>
          <w:lang w:eastAsia="en-AU"/>
        </w:rPr>
        <w:t>onboard</w:t>
      </w:r>
      <w:proofErr w:type="spellEnd"/>
      <w:r w:rsidRPr="00532D30">
        <w:rPr>
          <w:rFonts w:ascii="Century Gothic" w:eastAsia="Times New Roman" w:hAnsi="Century Gothic" w:cs="Times New Roman"/>
          <w:color w:val="333333"/>
          <w:sz w:val="18"/>
          <w:szCs w:val="18"/>
          <w:lang w:eastAsia="en-AU"/>
        </w:rPr>
        <w:t>, which can provide invaluable insight and should not become the normal day-to-day level for safe operations.</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b/>
          <w:bCs/>
          <w:color w:val="333333"/>
          <w:sz w:val="18"/>
          <w:szCs w:val="18"/>
          <w:lang w:eastAsia="en-AU"/>
        </w:rPr>
        <w:t>How big is TEU big?</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 xml:space="preserve">Container ship safety is also under the spotlight with ever-increasing ship sizes, as evidenced by the January 2015 inauguration of the world's largest container ship, the MSC Oscar (19,224 TEU). The length of four football pitches, it can carry 19,000 containers. Yet ships as large as 22,000 </w:t>
      </w:r>
      <w:proofErr w:type="spellStart"/>
      <w:r w:rsidRPr="00532D30">
        <w:rPr>
          <w:rFonts w:ascii="Century Gothic" w:eastAsia="Times New Roman" w:hAnsi="Century Gothic" w:cs="Times New Roman"/>
          <w:color w:val="333333"/>
          <w:sz w:val="18"/>
          <w:szCs w:val="18"/>
          <w:lang w:eastAsia="en-AU"/>
        </w:rPr>
        <w:t>teu</w:t>
      </w:r>
      <w:proofErr w:type="spellEnd"/>
      <w:r w:rsidRPr="00532D30">
        <w:rPr>
          <w:rFonts w:ascii="Century Gothic" w:eastAsia="Times New Roman" w:hAnsi="Century Gothic" w:cs="Times New Roman"/>
          <w:color w:val="333333"/>
          <w:sz w:val="18"/>
          <w:szCs w:val="18"/>
          <w:lang w:eastAsia="en-AU"/>
        </w:rPr>
        <w:t xml:space="preserve"> are expected to be in service soon. "</w:t>
      </w:r>
      <w:r w:rsidRPr="00532D30">
        <w:rPr>
          <w:rFonts w:ascii="Century Gothic" w:eastAsia="Times New Roman" w:hAnsi="Century Gothic" w:cs="Times New Roman"/>
          <w:i/>
          <w:iCs/>
          <w:color w:val="333333"/>
          <w:sz w:val="18"/>
          <w:szCs w:val="18"/>
          <w:lang w:eastAsia="en-AU"/>
        </w:rPr>
        <w:t>Larger ships can also mean larger losses. The industry should prepare for a loss exceeding $1 billion in future featuring a container vessel or even a specialized floating offshore facility,</w:t>
      </w:r>
      <w:r w:rsidRPr="00532D30">
        <w:rPr>
          <w:rFonts w:ascii="Century Gothic" w:eastAsia="Times New Roman" w:hAnsi="Century Gothic" w:cs="Times New Roman"/>
          <w:color w:val="333333"/>
          <w:sz w:val="18"/>
          <w:szCs w:val="18"/>
          <w:lang w:eastAsia="en-AU"/>
        </w:rPr>
        <w:t>" Gerhard said. Maximum exposure would not necessarily be limited to vessel and cargo value but could also include environmental or business interruption backlash. This raises concerns about whether risk management needs reviewing after an 80%+ container ship capacity increase in a decade.</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lastRenderedPageBreak/>
        <w:t xml:space="preserve">AGCS sees a number of risks for such mega-ships including the fact operation </w:t>
      </w:r>
      <w:proofErr w:type="gramStart"/>
      <w:r w:rsidRPr="00532D30">
        <w:rPr>
          <w:rFonts w:ascii="Century Gothic" w:eastAsia="Times New Roman" w:hAnsi="Century Gothic" w:cs="Times New Roman"/>
          <w:color w:val="333333"/>
          <w:sz w:val="18"/>
          <w:szCs w:val="18"/>
          <w:lang w:eastAsia="en-AU"/>
        </w:rPr>
        <w:t>is</w:t>
      </w:r>
      <w:proofErr w:type="gramEnd"/>
      <w:r w:rsidRPr="00532D30">
        <w:rPr>
          <w:rFonts w:ascii="Century Gothic" w:eastAsia="Times New Roman" w:hAnsi="Century Gothic" w:cs="Times New Roman"/>
          <w:color w:val="333333"/>
          <w:sz w:val="18"/>
          <w:szCs w:val="18"/>
          <w:lang w:eastAsia="en-AU"/>
        </w:rPr>
        <w:t xml:space="preserve"> limited to a small number of deep water ports, meaning an increased concentration of risk. There is also a world-wide shortage of qualified seaman. Salvage and removal is also challenging. As the wreck removal of the Costa Concordia passenger ship demonstrated such costs can easily be a multiple of the hull value. "</w:t>
      </w:r>
      <w:r w:rsidRPr="00532D30">
        <w:rPr>
          <w:rFonts w:ascii="Century Gothic" w:eastAsia="Times New Roman" w:hAnsi="Century Gothic" w:cs="Times New Roman"/>
          <w:i/>
          <w:iCs/>
          <w:color w:val="333333"/>
          <w:sz w:val="18"/>
          <w:szCs w:val="18"/>
          <w:lang w:eastAsia="en-AU"/>
        </w:rPr>
        <w:t>The shipping industry should think long and hard before making the leap to the next ship size,"</w:t>
      </w:r>
      <w:r w:rsidRPr="00532D30">
        <w:rPr>
          <w:rFonts w:ascii="Century Gothic" w:eastAsia="Times New Roman" w:hAnsi="Century Gothic" w:cs="Times New Roman"/>
          <w:color w:val="333333"/>
          <w:sz w:val="18"/>
          <w:szCs w:val="18"/>
          <w:lang w:eastAsia="en-AU"/>
        </w:rPr>
        <w:t xml:space="preserve"> added Captain Rahul Khanna, Global Head of Marine Risk Consulting, </w:t>
      </w:r>
      <w:proofErr w:type="gramStart"/>
      <w:r w:rsidRPr="00532D30">
        <w:rPr>
          <w:rFonts w:ascii="Century Gothic" w:eastAsia="Times New Roman" w:hAnsi="Century Gothic" w:cs="Times New Roman"/>
          <w:color w:val="333333"/>
          <w:sz w:val="18"/>
          <w:szCs w:val="18"/>
          <w:lang w:eastAsia="en-AU"/>
        </w:rPr>
        <w:t>AGCS</w:t>
      </w:r>
      <w:proofErr w:type="gramEnd"/>
      <w:r w:rsidRPr="00532D30">
        <w:rPr>
          <w:rFonts w:ascii="Century Gothic" w:eastAsia="Times New Roman" w:hAnsi="Century Gothic" w:cs="Times New Roman"/>
          <w:color w:val="333333"/>
          <w:sz w:val="18"/>
          <w:szCs w:val="18"/>
          <w:lang w:eastAsia="en-AU"/>
        </w:rPr>
        <w:t>.</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Click here to view relevant </w:t>
      </w:r>
      <w:hyperlink r:id="rId11" w:tgtFrame="_blank" w:history="1">
        <w:r w:rsidRPr="00532D30">
          <w:rPr>
            <w:rFonts w:ascii="Century Gothic" w:eastAsia="Times New Roman" w:hAnsi="Century Gothic" w:cs="Times New Roman"/>
            <w:color w:val="52A9D4"/>
            <w:sz w:val="18"/>
            <w:szCs w:val="18"/>
            <w:lang w:eastAsia="en-AU"/>
          </w:rPr>
          <w:t>infographic</w:t>
        </w:r>
      </w:hyperlink>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 </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b/>
          <w:bCs/>
          <w:color w:val="333333"/>
          <w:sz w:val="18"/>
          <w:szCs w:val="18"/>
          <w:lang w:eastAsia="en-AU"/>
        </w:rPr>
        <w:t>Port and ships become hacker targets</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Cyber risks represent another new threat for a shipping sector which is highly interconnected and increasingly reliant on automation. "</w:t>
      </w:r>
      <w:r w:rsidRPr="00532D30">
        <w:rPr>
          <w:rFonts w:ascii="Century Gothic" w:eastAsia="Times New Roman" w:hAnsi="Century Gothic" w:cs="Times New Roman"/>
          <w:i/>
          <w:iCs/>
          <w:color w:val="333333"/>
          <w:sz w:val="18"/>
          <w:szCs w:val="18"/>
          <w:lang w:eastAsia="en-AU"/>
        </w:rPr>
        <w:t>Cyber risk may be in its infancy in the sector today, but ships and ports could become enticing targets for hackers in future. Companies must simulate potential scenarios and identify appropriate mitigation strategies,</w:t>
      </w:r>
      <w:r w:rsidRPr="00532D30">
        <w:rPr>
          <w:rFonts w:ascii="Century Gothic" w:eastAsia="Times New Roman" w:hAnsi="Century Gothic" w:cs="Times New Roman"/>
          <w:color w:val="333333"/>
          <w:sz w:val="18"/>
          <w:szCs w:val="18"/>
          <w:lang w:eastAsia="en-AU"/>
        </w:rPr>
        <w:t>" said Khanna. "</w:t>
      </w:r>
      <w:r w:rsidRPr="00532D30">
        <w:rPr>
          <w:rFonts w:ascii="Century Gothic" w:eastAsia="Times New Roman" w:hAnsi="Century Gothic" w:cs="Times New Roman"/>
          <w:i/>
          <w:iCs/>
          <w:color w:val="333333"/>
          <w:sz w:val="18"/>
          <w:szCs w:val="18"/>
          <w:lang w:eastAsia="en-AU"/>
        </w:rPr>
        <w:t>A cyber-attack targeting technology on board, in particular electronic navigation systems, could possibly lead to a total loss or even involve several vessels from one company,</w:t>
      </w:r>
      <w:r w:rsidRPr="00532D30">
        <w:rPr>
          <w:rFonts w:ascii="Century Gothic" w:eastAsia="Times New Roman" w:hAnsi="Century Gothic" w:cs="Times New Roman"/>
          <w:color w:val="333333"/>
          <w:sz w:val="18"/>
          <w:szCs w:val="18"/>
          <w:lang w:eastAsia="en-AU"/>
        </w:rPr>
        <w:t>" said Gerhard. Other scenarios include cyber criminals targeting a major port, closing terminals, or interfering with containers or confidential data. Such attacks could also result in significant business interruption costs, notwithstanding liability or reputational losses.</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 </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Pr>
          <w:rFonts w:ascii="Century Gothic" w:eastAsia="Times New Roman" w:hAnsi="Century Gothic" w:cs="Times New Roman"/>
          <w:noProof/>
          <w:color w:val="52A9D4"/>
          <w:sz w:val="18"/>
          <w:szCs w:val="18"/>
          <w:lang w:eastAsia="en-AU"/>
        </w:rPr>
        <w:drawing>
          <wp:inline distT="0" distB="0" distL="0" distR="0">
            <wp:extent cx="4290060" cy="4411980"/>
            <wp:effectExtent l="0" t="0" r="0" b="7620"/>
            <wp:docPr id="3" name="Picture 3" descr="Piracy 2014 overview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racy 2014 overview ">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0060" cy="4411980"/>
                    </a:xfrm>
                    <a:prstGeom prst="rect">
                      <a:avLst/>
                    </a:prstGeom>
                    <a:noFill/>
                    <a:ln>
                      <a:noFill/>
                    </a:ln>
                  </pic:spPr>
                </pic:pic>
              </a:graphicData>
            </a:graphic>
          </wp:inline>
        </w:drawing>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 </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b/>
          <w:bCs/>
          <w:color w:val="333333"/>
          <w:sz w:val="18"/>
          <w:szCs w:val="18"/>
          <w:lang w:eastAsia="en-AU"/>
        </w:rPr>
        <w:t>Polar Code welcomed, but need for constant revision</w:t>
      </w:r>
    </w:p>
    <w:p w:rsid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The shipping industry has welcomed the recent arrival of the Polar Code which aims to curb risks from increased traffic in the Arctic and Antarctica. Analysis shows there were 55 reported shipping incidents in Arctic Circle waters during 2014 including one total loss. There were just 3 in 2005. While the code addresses many safety issues, questions remain, particularly around crew training, vessel suitability and potential clean-up. The Polar Code will need constant revision. Any shipping problems encountered and best practices to employ should be outlined at the end of each season.</w:t>
      </w:r>
    </w:p>
    <w:p w:rsid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p>
    <w:p w:rsid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p>
    <w:p w:rsid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p>
    <w:p w:rsid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p>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9176"/>
      </w:tblGrid>
      <w:tr w:rsidR="00532D30" w:rsidRPr="00532D30" w:rsidTr="00532D30">
        <w:trPr>
          <w:tblCellSpacing w:w="0" w:type="dxa"/>
        </w:trPr>
        <w:tc>
          <w:tcPr>
            <w:tcW w:w="0" w:type="auto"/>
            <w:shd w:val="clear" w:color="auto" w:fill="68C0E0"/>
            <w:vAlign w:val="center"/>
            <w:hideMark/>
          </w:tcPr>
          <w:p w:rsidR="00532D30" w:rsidRPr="00532D30" w:rsidRDefault="00532D30" w:rsidP="00532D30">
            <w:pPr>
              <w:spacing w:after="0" w:line="240" w:lineRule="auto"/>
              <w:rPr>
                <w:rFonts w:ascii="Times New Roman" w:eastAsia="Times New Roman" w:hAnsi="Times New Roman" w:cs="Times New Roman"/>
                <w:sz w:val="24"/>
                <w:szCs w:val="24"/>
                <w:lang w:eastAsia="en-AU"/>
              </w:rPr>
            </w:pPr>
            <w:r w:rsidRPr="00532D30">
              <w:rPr>
                <w:rFonts w:ascii="Times New Roman" w:eastAsia="Times New Roman" w:hAnsi="Times New Roman" w:cs="Times New Roman"/>
                <w:b/>
                <w:bCs/>
                <w:sz w:val="24"/>
                <w:szCs w:val="24"/>
                <w:lang w:eastAsia="en-AU"/>
              </w:rPr>
              <w:lastRenderedPageBreak/>
              <w:t>Further risk challenges</w:t>
            </w:r>
          </w:p>
        </w:tc>
      </w:tr>
      <w:tr w:rsidR="00532D30" w:rsidRPr="00532D30" w:rsidTr="00532D30">
        <w:trPr>
          <w:tblCellSpacing w:w="0" w:type="dxa"/>
        </w:trPr>
        <w:tc>
          <w:tcPr>
            <w:tcW w:w="0" w:type="auto"/>
            <w:shd w:val="clear" w:color="auto" w:fill="E4F4FA"/>
            <w:vAlign w:val="center"/>
            <w:hideMark/>
          </w:tcPr>
          <w:p w:rsidR="00532D30" w:rsidRPr="00532D30" w:rsidRDefault="00532D30" w:rsidP="00532D30">
            <w:pPr>
              <w:spacing w:after="0" w:line="240" w:lineRule="auto"/>
              <w:rPr>
                <w:rFonts w:ascii="Times New Roman" w:eastAsia="Times New Roman" w:hAnsi="Times New Roman" w:cs="Times New Roman"/>
                <w:sz w:val="24"/>
                <w:szCs w:val="24"/>
                <w:lang w:eastAsia="en-AU"/>
              </w:rPr>
            </w:pPr>
            <w:r w:rsidRPr="00532D30">
              <w:rPr>
                <w:rFonts w:ascii="Times New Roman" w:eastAsia="Times New Roman" w:hAnsi="Times New Roman" w:cs="Times New Roman"/>
                <w:sz w:val="24"/>
                <w:szCs w:val="24"/>
                <w:lang w:eastAsia="en-AU"/>
              </w:rPr>
              <w:t>Other risks identified in the 2015 Safety &amp; Shipping Review include:</w:t>
            </w:r>
          </w:p>
          <w:p w:rsidR="00532D30" w:rsidRPr="00532D30" w:rsidRDefault="00532D30" w:rsidP="00532D30">
            <w:pPr>
              <w:spacing w:after="0" w:line="240" w:lineRule="auto"/>
              <w:rPr>
                <w:rFonts w:ascii="Times New Roman" w:eastAsia="Times New Roman" w:hAnsi="Times New Roman" w:cs="Times New Roman"/>
                <w:sz w:val="24"/>
                <w:szCs w:val="24"/>
                <w:lang w:eastAsia="en-AU"/>
              </w:rPr>
            </w:pPr>
            <w:r w:rsidRPr="00532D30">
              <w:rPr>
                <w:rFonts w:ascii="Times New Roman" w:eastAsia="Times New Roman" w:hAnsi="Times New Roman" w:cs="Times New Roman"/>
                <w:b/>
                <w:bCs/>
                <w:sz w:val="24"/>
                <w:szCs w:val="24"/>
                <w:lang w:eastAsia="en-AU"/>
              </w:rPr>
              <w:t>Overreliance on electronic navigation:</w:t>
            </w:r>
            <w:r w:rsidRPr="00532D30">
              <w:rPr>
                <w:rFonts w:ascii="Times New Roman" w:eastAsia="Times New Roman" w:hAnsi="Times New Roman" w:cs="Times New Roman"/>
                <w:sz w:val="24"/>
                <w:szCs w:val="24"/>
                <w:lang w:eastAsia="en-AU"/>
              </w:rPr>
              <w:t xml:space="preserve"> The collision of the cargo ship </w:t>
            </w:r>
            <w:proofErr w:type="spellStart"/>
            <w:r w:rsidRPr="00532D30">
              <w:rPr>
                <w:rFonts w:ascii="Times New Roman" w:eastAsia="Times New Roman" w:hAnsi="Times New Roman" w:cs="Times New Roman"/>
                <w:sz w:val="24"/>
                <w:szCs w:val="24"/>
                <w:lang w:eastAsia="en-AU"/>
              </w:rPr>
              <w:t>Rickmers</w:t>
            </w:r>
            <w:proofErr w:type="spellEnd"/>
            <w:r w:rsidRPr="00532D30">
              <w:rPr>
                <w:rFonts w:ascii="Times New Roman" w:eastAsia="Times New Roman" w:hAnsi="Times New Roman" w:cs="Times New Roman"/>
                <w:sz w:val="24"/>
                <w:szCs w:val="24"/>
                <w:lang w:eastAsia="en-AU"/>
              </w:rPr>
              <w:t xml:space="preserve"> Dubai with an unmanned crane barge in 2014 is an example of the perils of overreliance on e-navigation. Training standards around systems such as Electronic Chart Display and Information System (ECDIS) are mixed. "Officers need robust training in order to avoid misinterpretation of ECDIS and operating mistakes that could lead to expensive disasters. Beyond that manual navigation aids and skills are still crucial," said Khanna.</w:t>
            </w:r>
          </w:p>
          <w:p w:rsidR="00532D30" w:rsidRPr="00532D30" w:rsidRDefault="00532D30" w:rsidP="00532D30">
            <w:pPr>
              <w:spacing w:after="0" w:line="240" w:lineRule="auto"/>
              <w:rPr>
                <w:rFonts w:ascii="Times New Roman" w:eastAsia="Times New Roman" w:hAnsi="Times New Roman" w:cs="Times New Roman"/>
                <w:sz w:val="24"/>
                <w:szCs w:val="24"/>
                <w:lang w:eastAsia="en-AU"/>
              </w:rPr>
            </w:pPr>
            <w:r w:rsidRPr="00532D30">
              <w:rPr>
                <w:rFonts w:ascii="Times New Roman" w:eastAsia="Times New Roman" w:hAnsi="Times New Roman" w:cs="Times New Roman"/>
                <w:b/>
                <w:bCs/>
                <w:sz w:val="24"/>
                <w:szCs w:val="24"/>
                <w:lang w:eastAsia="en-AU"/>
              </w:rPr>
              <w:t>Rise in geopolitical uncertainty:</w:t>
            </w:r>
            <w:r w:rsidRPr="00532D30">
              <w:rPr>
                <w:rFonts w:ascii="Times New Roman" w:eastAsia="Times New Roman" w:hAnsi="Times New Roman" w:cs="Times New Roman"/>
                <w:sz w:val="24"/>
                <w:szCs w:val="24"/>
                <w:lang w:eastAsia="en-AU"/>
              </w:rPr>
              <w:t> The recent rise in geo-political tension around the world is concerning. The increase in human trafficking of refugees by sea creates search and rescue issues. More than 207,000 migrants crossed the Mediterranean in 2014, driven by the civil war in Syria. The International Maritime Organization estimates at least 600 merchant ships were diverted in 2014 to rescue people, stretching resources and rescue infrastructure. Conflicts in the Middle East also put increasing pressure on the supply chain. Ships should not underestimate the security risks.</w:t>
            </w:r>
          </w:p>
          <w:p w:rsidR="00532D30" w:rsidRPr="00532D30" w:rsidRDefault="00532D30" w:rsidP="00532D30">
            <w:pPr>
              <w:spacing w:after="0" w:line="240" w:lineRule="auto"/>
              <w:rPr>
                <w:rFonts w:ascii="Times New Roman" w:eastAsia="Times New Roman" w:hAnsi="Times New Roman" w:cs="Times New Roman"/>
                <w:sz w:val="24"/>
                <w:szCs w:val="24"/>
                <w:lang w:eastAsia="en-AU"/>
              </w:rPr>
            </w:pPr>
            <w:r w:rsidRPr="00532D30">
              <w:rPr>
                <w:rFonts w:ascii="Times New Roman" w:eastAsia="Times New Roman" w:hAnsi="Times New Roman" w:cs="Times New Roman"/>
                <w:b/>
                <w:bCs/>
                <w:sz w:val="24"/>
                <w:szCs w:val="24"/>
                <w:lang w:eastAsia="en-AU"/>
              </w:rPr>
              <w:t>Piracy risks move from Africa to Asia:</w:t>
            </w:r>
            <w:r w:rsidRPr="00532D30">
              <w:rPr>
                <w:rFonts w:ascii="Times New Roman" w:eastAsia="Times New Roman" w:hAnsi="Times New Roman" w:cs="Times New Roman"/>
                <w:sz w:val="24"/>
                <w:szCs w:val="24"/>
                <w:lang w:eastAsia="en-AU"/>
              </w:rPr>
              <w:t> Although there has been good progress tackling activity in Somalia and the Gulf of Guinea, ensuring global attacks (245[1]) are down for a fourth year in a row, piracy thrives elsewhere. Attacks in South East Asian waters are up year-on-year, as are incidents in the Indian subcontinent, with Bangladesh a new hotspot.</w:t>
            </w:r>
          </w:p>
        </w:tc>
      </w:tr>
    </w:tbl>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Pr>
          <w:rFonts w:ascii="Century Gothic" w:eastAsia="Times New Roman" w:hAnsi="Century Gothic" w:cs="Times New Roman"/>
          <w:noProof/>
          <w:color w:val="333333"/>
          <w:sz w:val="18"/>
          <w:szCs w:val="18"/>
          <w:lang w:eastAsia="en-AU"/>
        </w:rPr>
        <w:drawing>
          <wp:inline distT="0" distB="0" distL="0" distR="0">
            <wp:extent cx="99060" cy="76200"/>
            <wp:effectExtent l="0" t="0" r="0" b="0"/>
            <wp:docPr id="2" name="Picture 2" descr="http://www.safety4sea.com/images/media/2015/Container-shipping-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fety4sea.com/images/media/2015/Container-shipping-genera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 cy="76200"/>
                    </a:xfrm>
                    <a:prstGeom prst="rect">
                      <a:avLst/>
                    </a:prstGeom>
                    <a:noFill/>
                    <a:ln>
                      <a:noFill/>
                    </a:ln>
                  </pic:spPr>
                </pic:pic>
              </a:graphicData>
            </a:graphic>
          </wp:inline>
        </w:drawing>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Further details may be found by reading </w:t>
      </w:r>
      <w:r w:rsidRPr="00532D30">
        <w:rPr>
          <w:rFonts w:ascii="Century Gothic" w:eastAsia="Times New Roman" w:hAnsi="Century Gothic" w:cs="Times New Roman"/>
          <w:b/>
          <w:bCs/>
          <w:color w:val="333333"/>
          <w:sz w:val="18"/>
          <w:szCs w:val="18"/>
          <w:lang w:eastAsia="en-AU"/>
        </w:rPr>
        <w:t>'Safety and Shipping Review 2015'</w:t>
      </w:r>
      <w:r w:rsidRPr="00532D30">
        <w:rPr>
          <w:rFonts w:ascii="Century Gothic" w:eastAsia="Times New Roman" w:hAnsi="Century Gothic" w:cs="Times New Roman"/>
          <w:color w:val="333333"/>
          <w:sz w:val="18"/>
          <w:szCs w:val="18"/>
          <w:lang w:eastAsia="en-AU"/>
        </w:rPr>
        <w:t>report issued by AGCS (please click at image below)</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Pr>
          <w:rFonts w:ascii="Century Gothic" w:eastAsia="Times New Roman" w:hAnsi="Century Gothic" w:cs="Times New Roman"/>
          <w:noProof/>
          <w:color w:val="52A9D4"/>
          <w:sz w:val="18"/>
          <w:szCs w:val="18"/>
          <w:lang w:eastAsia="en-AU"/>
        </w:rPr>
        <w:drawing>
          <wp:inline distT="0" distB="0" distL="0" distR="0">
            <wp:extent cx="1432560" cy="2263140"/>
            <wp:effectExtent l="0" t="0" r="0" b="3810"/>
            <wp:docPr id="1" name="Picture 1" descr="http://www.safety4sea.com/images/media/2015/Allianz-Shipping-Review-2015-cover.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fety4sea.com/images/media/2015/Allianz-Shipping-Review-2015-cover.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2560" cy="2263140"/>
                    </a:xfrm>
                    <a:prstGeom prst="rect">
                      <a:avLst/>
                    </a:prstGeom>
                    <a:noFill/>
                    <a:ln>
                      <a:noFill/>
                    </a:ln>
                  </pic:spPr>
                </pic:pic>
              </a:graphicData>
            </a:graphic>
          </wp:inline>
        </w:drawing>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b/>
          <w:bCs/>
          <w:color w:val="333333"/>
          <w:sz w:val="18"/>
          <w:szCs w:val="18"/>
          <w:lang w:eastAsia="en-AU"/>
        </w:rPr>
        <w:t>Source: </w:t>
      </w:r>
      <w:hyperlink r:id="rId17" w:tgtFrame="_blank" w:history="1">
        <w:r w:rsidRPr="00532D30">
          <w:rPr>
            <w:rFonts w:ascii="Century Gothic" w:eastAsia="Times New Roman" w:hAnsi="Century Gothic" w:cs="Times New Roman"/>
            <w:b/>
            <w:bCs/>
            <w:color w:val="52A9D4"/>
            <w:sz w:val="18"/>
            <w:szCs w:val="18"/>
            <w:lang w:eastAsia="en-AU"/>
          </w:rPr>
          <w:t>AGCS</w:t>
        </w:r>
      </w:hyperlink>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color w:val="333333"/>
          <w:sz w:val="18"/>
          <w:szCs w:val="18"/>
          <w:lang w:eastAsia="en-AU"/>
        </w:rPr>
        <w:t> </w:t>
      </w:r>
    </w:p>
    <w:p w:rsidR="00532D30" w:rsidRPr="00532D30" w:rsidRDefault="00532D30" w:rsidP="00532D30">
      <w:pPr>
        <w:shd w:val="clear" w:color="auto" w:fill="FFFFFF"/>
        <w:spacing w:after="0" w:line="225" w:lineRule="atLeast"/>
        <w:jc w:val="both"/>
        <w:rPr>
          <w:rFonts w:ascii="Century Gothic" w:eastAsia="Times New Roman" w:hAnsi="Century Gothic" w:cs="Times New Roman"/>
          <w:color w:val="333333"/>
          <w:sz w:val="18"/>
          <w:szCs w:val="18"/>
          <w:lang w:eastAsia="en-AU"/>
        </w:rPr>
      </w:pPr>
      <w:r w:rsidRPr="00532D30">
        <w:rPr>
          <w:rFonts w:ascii="Century Gothic" w:eastAsia="Times New Roman" w:hAnsi="Century Gothic" w:cs="Times New Roman"/>
          <w:b/>
          <w:bCs/>
          <w:color w:val="333333"/>
          <w:sz w:val="18"/>
          <w:szCs w:val="18"/>
          <w:lang w:eastAsia="en-AU"/>
        </w:rPr>
        <w:t>Tags:</w:t>
      </w:r>
      <w:r w:rsidRPr="00532D30">
        <w:rPr>
          <w:rFonts w:ascii="Century Gothic" w:eastAsia="Times New Roman" w:hAnsi="Century Gothic" w:cs="Times New Roman"/>
          <w:color w:val="333333"/>
          <w:sz w:val="18"/>
          <w:szCs w:val="18"/>
          <w:lang w:eastAsia="en-AU"/>
        </w:rPr>
        <w:t> </w:t>
      </w:r>
      <w:hyperlink r:id="rId18" w:history="1">
        <w:r w:rsidRPr="00532D30">
          <w:rPr>
            <w:rFonts w:ascii="Century Gothic" w:eastAsia="Times New Roman" w:hAnsi="Century Gothic" w:cs="Times New Roman"/>
            <w:color w:val="52A9D4"/>
            <w:sz w:val="18"/>
            <w:szCs w:val="18"/>
            <w:lang w:eastAsia="en-AU"/>
          </w:rPr>
          <w:t>reports</w:t>
        </w:r>
      </w:hyperlink>
      <w:r w:rsidRPr="00532D30">
        <w:rPr>
          <w:rFonts w:ascii="Century Gothic" w:eastAsia="Times New Roman" w:hAnsi="Century Gothic" w:cs="Times New Roman"/>
          <w:color w:val="333333"/>
          <w:sz w:val="18"/>
          <w:szCs w:val="18"/>
          <w:lang w:eastAsia="en-AU"/>
        </w:rPr>
        <w:t>, </w:t>
      </w:r>
      <w:hyperlink r:id="rId19" w:history="1">
        <w:r w:rsidRPr="00532D30">
          <w:rPr>
            <w:rFonts w:ascii="Century Gothic" w:eastAsia="Times New Roman" w:hAnsi="Century Gothic" w:cs="Times New Roman"/>
            <w:color w:val="52A9D4"/>
            <w:sz w:val="18"/>
            <w:szCs w:val="18"/>
            <w:lang w:eastAsia="en-AU"/>
          </w:rPr>
          <w:t>maritime security</w:t>
        </w:r>
      </w:hyperlink>
      <w:r w:rsidRPr="00532D30">
        <w:rPr>
          <w:rFonts w:ascii="Century Gothic" w:eastAsia="Times New Roman" w:hAnsi="Century Gothic" w:cs="Times New Roman"/>
          <w:color w:val="333333"/>
          <w:sz w:val="18"/>
          <w:szCs w:val="18"/>
          <w:lang w:eastAsia="en-AU"/>
        </w:rPr>
        <w:t>, </w:t>
      </w:r>
      <w:hyperlink r:id="rId20" w:history="1">
        <w:r w:rsidRPr="00532D30">
          <w:rPr>
            <w:rFonts w:ascii="Century Gothic" w:eastAsia="Times New Roman" w:hAnsi="Century Gothic" w:cs="Times New Roman"/>
            <w:color w:val="52A9D4"/>
            <w:sz w:val="18"/>
            <w:szCs w:val="18"/>
            <w:lang w:eastAsia="en-AU"/>
          </w:rPr>
          <w:t>shipping industry</w:t>
        </w:r>
      </w:hyperlink>
      <w:r w:rsidRPr="00532D30">
        <w:rPr>
          <w:rFonts w:ascii="Century Gothic" w:eastAsia="Times New Roman" w:hAnsi="Century Gothic" w:cs="Times New Roman"/>
          <w:color w:val="333333"/>
          <w:sz w:val="18"/>
          <w:szCs w:val="18"/>
          <w:lang w:eastAsia="en-AU"/>
        </w:rPr>
        <w:t>, </w:t>
      </w:r>
      <w:hyperlink r:id="rId21" w:history="1">
        <w:r w:rsidRPr="00532D30">
          <w:rPr>
            <w:rFonts w:ascii="Century Gothic" w:eastAsia="Times New Roman" w:hAnsi="Century Gothic" w:cs="Times New Roman"/>
            <w:color w:val="52A9D4"/>
            <w:sz w:val="18"/>
            <w:szCs w:val="18"/>
            <w:lang w:eastAsia="en-AU"/>
          </w:rPr>
          <w:t>maritime safety</w:t>
        </w:r>
      </w:hyperlink>
      <w:r w:rsidRPr="00532D30">
        <w:rPr>
          <w:rFonts w:ascii="Century Gothic" w:eastAsia="Times New Roman" w:hAnsi="Century Gothic" w:cs="Times New Roman"/>
          <w:color w:val="333333"/>
          <w:sz w:val="18"/>
          <w:szCs w:val="18"/>
          <w:lang w:eastAsia="en-AU"/>
        </w:rPr>
        <w:t>, </w:t>
      </w:r>
      <w:hyperlink r:id="rId22" w:history="1">
        <w:r w:rsidRPr="00532D30">
          <w:rPr>
            <w:rFonts w:ascii="Century Gothic" w:eastAsia="Times New Roman" w:hAnsi="Century Gothic" w:cs="Times New Roman"/>
            <w:color w:val="52A9D4"/>
            <w:sz w:val="18"/>
            <w:szCs w:val="18"/>
            <w:lang w:eastAsia="en-AU"/>
          </w:rPr>
          <w:t xml:space="preserve">Polar </w:t>
        </w:r>
        <w:proofErr w:type="spellStart"/>
        <w:r w:rsidRPr="00532D30">
          <w:rPr>
            <w:rFonts w:ascii="Century Gothic" w:eastAsia="Times New Roman" w:hAnsi="Century Gothic" w:cs="Times New Roman"/>
            <w:color w:val="52A9D4"/>
            <w:sz w:val="18"/>
            <w:szCs w:val="18"/>
            <w:lang w:eastAsia="en-AU"/>
          </w:rPr>
          <w:t>Code</w:t>
        </w:r>
      </w:hyperlink>
      <w:r w:rsidRPr="00532D30">
        <w:rPr>
          <w:rFonts w:ascii="Century Gothic" w:eastAsia="Times New Roman" w:hAnsi="Century Gothic" w:cs="Times New Roman"/>
          <w:color w:val="333333"/>
          <w:sz w:val="18"/>
          <w:szCs w:val="18"/>
          <w:lang w:eastAsia="en-AU"/>
        </w:rPr>
        <w:t>,</w:t>
      </w:r>
      <w:hyperlink r:id="rId23" w:history="1">
        <w:r w:rsidRPr="00532D30">
          <w:rPr>
            <w:rFonts w:ascii="Century Gothic" w:eastAsia="Times New Roman" w:hAnsi="Century Gothic" w:cs="Times New Roman"/>
            <w:color w:val="52A9D4"/>
            <w:sz w:val="18"/>
            <w:szCs w:val="18"/>
            <w:lang w:eastAsia="en-AU"/>
          </w:rPr>
          <w:t>pirates</w:t>
        </w:r>
        <w:proofErr w:type="spellEnd"/>
        <w:r w:rsidRPr="00532D30">
          <w:rPr>
            <w:rFonts w:ascii="Century Gothic" w:eastAsia="Times New Roman" w:hAnsi="Century Gothic" w:cs="Times New Roman"/>
            <w:color w:val="52A9D4"/>
            <w:sz w:val="18"/>
            <w:szCs w:val="18"/>
            <w:lang w:eastAsia="en-AU"/>
          </w:rPr>
          <w:t xml:space="preserve"> threat</w:t>
        </w:r>
      </w:hyperlink>
      <w:r w:rsidRPr="00532D30">
        <w:rPr>
          <w:rFonts w:ascii="Century Gothic" w:eastAsia="Times New Roman" w:hAnsi="Century Gothic" w:cs="Times New Roman"/>
          <w:color w:val="333333"/>
          <w:sz w:val="18"/>
          <w:szCs w:val="18"/>
          <w:lang w:eastAsia="en-AU"/>
        </w:rPr>
        <w:t>, </w:t>
      </w:r>
      <w:hyperlink r:id="rId24" w:history="1">
        <w:r w:rsidRPr="00532D30">
          <w:rPr>
            <w:rFonts w:ascii="Century Gothic" w:eastAsia="Times New Roman" w:hAnsi="Century Gothic" w:cs="Times New Roman"/>
            <w:color w:val="52A9D4"/>
            <w:sz w:val="18"/>
            <w:szCs w:val="18"/>
            <w:lang w:eastAsia="en-AU"/>
          </w:rPr>
          <w:t>passenger ship safety</w:t>
        </w:r>
      </w:hyperlink>
    </w:p>
    <w:p w:rsidR="00046A22" w:rsidRDefault="00046A22"/>
    <w:sectPr w:rsidR="00046A22" w:rsidSect="00532D30">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65F81"/>
    <w:multiLevelType w:val="multilevel"/>
    <w:tmpl w:val="4DFC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30"/>
    <w:rsid w:val="00046A22"/>
    <w:rsid w:val="000B1C9D"/>
    <w:rsid w:val="001A5EBC"/>
    <w:rsid w:val="00232248"/>
    <w:rsid w:val="00263524"/>
    <w:rsid w:val="003051E2"/>
    <w:rsid w:val="00376EE3"/>
    <w:rsid w:val="003A7800"/>
    <w:rsid w:val="00532D30"/>
    <w:rsid w:val="006228A0"/>
    <w:rsid w:val="00634305"/>
    <w:rsid w:val="00674FB1"/>
    <w:rsid w:val="006C0750"/>
    <w:rsid w:val="006F09CE"/>
    <w:rsid w:val="0076637D"/>
    <w:rsid w:val="007C637D"/>
    <w:rsid w:val="007F5947"/>
    <w:rsid w:val="008D7172"/>
    <w:rsid w:val="00A051A1"/>
    <w:rsid w:val="00A67AA9"/>
    <w:rsid w:val="00AF219F"/>
    <w:rsid w:val="00B342E6"/>
    <w:rsid w:val="00B6777B"/>
    <w:rsid w:val="00BE547B"/>
    <w:rsid w:val="00BF22F7"/>
    <w:rsid w:val="00C95437"/>
    <w:rsid w:val="00D05A52"/>
    <w:rsid w:val="00E350B2"/>
    <w:rsid w:val="00E679E7"/>
    <w:rsid w:val="00F95D6F"/>
    <w:rsid w:val="00FA72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2D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532D3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D3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32D30"/>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532D3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532D30"/>
    <w:rPr>
      <w:color w:val="0000FF"/>
      <w:u w:val="single"/>
    </w:rPr>
  </w:style>
  <w:style w:type="character" w:customStyle="1" w:styleId="apple-converted-space">
    <w:name w:val="apple-converted-space"/>
    <w:basedOn w:val="DefaultParagraphFont"/>
    <w:rsid w:val="00532D30"/>
  </w:style>
  <w:style w:type="character" w:styleId="Emphasis">
    <w:name w:val="Emphasis"/>
    <w:basedOn w:val="DefaultParagraphFont"/>
    <w:uiPriority w:val="20"/>
    <w:qFormat/>
    <w:rsid w:val="00532D30"/>
    <w:rPr>
      <w:i/>
      <w:iCs/>
    </w:rPr>
  </w:style>
  <w:style w:type="character" w:styleId="Strong">
    <w:name w:val="Strong"/>
    <w:basedOn w:val="DefaultParagraphFont"/>
    <w:uiPriority w:val="22"/>
    <w:qFormat/>
    <w:rsid w:val="00532D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2D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532D3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D3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532D30"/>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532D3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532D30"/>
    <w:rPr>
      <w:color w:val="0000FF"/>
      <w:u w:val="single"/>
    </w:rPr>
  </w:style>
  <w:style w:type="character" w:customStyle="1" w:styleId="apple-converted-space">
    <w:name w:val="apple-converted-space"/>
    <w:basedOn w:val="DefaultParagraphFont"/>
    <w:rsid w:val="00532D30"/>
  </w:style>
  <w:style w:type="character" w:styleId="Emphasis">
    <w:name w:val="Emphasis"/>
    <w:basedOn w:val="DefaultParagraphFont"/>
    <w:uiPriority w:val="20"/>
    <w:qFormat/>
    <w:rsid w:val="00532D30"/>
    <w:rPr>
      <w:i/>
      <w:iCs/>
    </w:rPr>
  </w:style>
  <w:style w:type="character" w:styleId="Strong">
    <w:name w:val="Strong"/>
    <w:basedOn w:val="DefaultParagraphFont"/>
    <w:uiPriority w:val="22"/>
    <w:qFormat/>
    <w:rsid w:val="00532D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50476">
      <w:bodyDiv w:val="1"/>
      <w:marLeft w:val="0"/>
      <w:marRight w:val="0"/>
      <w:marTop w:val="0"/>
      <w:marBottom w:val="0"/>
      <w:divBdr>
        <w:top w:val="none" w:sz="0" w:space="0" w:color="auto"/>
        <w:left w:val="none" w:sz="0" w:space="0" w:color="auto"/>
        <w:bottom w:val="none" w:sz="0" w:space="0" w:color="auto"/>
        <w:right w:val="none" w:sz="0" w:space="0" w:color="auto"/>
      </w:divBdr>
      <w:divsChild>
        <w:div w:id="1932808569">
          <w:marLeft w:val="0"/>
          <w:marRight w:val="0"/>
          <w:marTop w:val="0"/>
          <w:marBottom w:val="0"/>
          <w:divBdr>
            <w:top w:val="none" w:sz="0" w:space="0" w:color="auto"/>
            <w:left w:val="none" w:sz="0" w:space="0" w:color="auto"/>
            <w:bottom w:val="none" w:sz="0" w:space="0" w:color="auto"/>
            <w:right w:val="none" w:sz="0" w:space="0" w:color="auto"/>
          </w:divBdr>
          <w:divsChild>
            <w:div w:id="5256364">
              <w:marLeft w:val="0"/>
              <w:marRight w:val="0"/>
              <w:marTop w:val="0"/>
              <w:marBottom w:val="0"/>
              <w:divBdr>
                <w:top w:val="none" w:sz="0" w:space="0" w:color="auto"/>
                <w:left w:val="none" w:sz="0" w:space="0" w:color="auto"/>
                <w:bottom w:val="none" w:sz="0" w:space="0" w:color="auto"/>
                <w:right w:val="none" w:sz="0" w:space="0" w:color="auto"/>
              </w:divBdr>
              <w:divsChild>
                <w:div w:id="750587037">
                  <w:marLeft w:val="0"/>
                  <w:marRight w:val="0"/>
                  <w:marTop w:val="0"/>
                  <w:marBottom w:val="0"/>
                  <w:divBdr>
                    <w:top w:val="none" w:sz="0" w:space="0" w:color="auto"/>
                    <w:left w:val="none" w:sz="0" w:space="0" w:color="auto"/>
                    <w:bottom w:val="none" w:sz="0" w:space="0" w:color="auto"/>
                    <w:right w:val="none" w:sz="0" w:space="0" w:color="auto"/>
                  </w:divBdr>
                </w:div>
              </w:divsChild>
            </w:div>
            <w:div w:id="1253858860">
              <w:marLeft w:val="0"/>
              <w:marRight w:val="0"/>
              <w:marTop w:val="0"/>
              <w:marBottom w:val="0"/>
              <w:divBdr>
                <w:top w:val="none" w:sz="0" w:space="0" w:color="auto"/>
                <w:left w:val="none" w:sz="0" w:space="0" w:color="auto"/>
                <w:bottom w:val="none" w:sz="0" w:space="0" w:color="auto"/>
                <w:right w:val="none" w:sz="0" w:space="0" w:color="auto"/>
              </w:divBdr>
            </w:div>
            <w:div w:id="1730372897">
              <w:marLeft w:val="0"/>
              <w:marRight w:val="0"/>
              <w:marTop w:val="0"/>
              <w:marBottom w:val="0"/>
              <w:divBdr>
                <w:top w:val="none" w:sz="0" w:space="0" w:color="auto"/>
                <w:left w:val="none" w:sz="0" w:space="0" w:color="auto"/>
                <w:bottom w:val="none" w:sz="0" w:space="0" w:color="auto"/>
                <w:right w:val="none" w:sz="0" w:space="0" w:color="auto"/>
              </w:divBdr>
            </w:div>
            <w:div w:id="1323122355">
              <w:marLeft w:val="0"/>
              <w:marRight w:val="0"/>
              <w:marTop w:val="0"/>
              <w:marBottom w:val="0"/>
              <w:divBdr>
                <w:top w:val="none" w:sz="0" w:space="0" w:color="auto"/>
                <w:left w:val="none" w:sz="0" w:space="0" w:color="auto"/>
                <w:bottom w:val="none" w:sz="0" w:space="0" w:color="auto"/>
                <w:right w:val="none" w:sz="0" w:space="0" w:color="auto"/>
              </w:divBdr>
            </w:div>
            <w:div w:id="12467693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ty4sea.com/allianz-study:-shipping-losses-decline-but-emerging-risks-pose-serious-challeng-19668" TargetMode="External"/><Relationship Id="rId13" Type="http://schemas.openxmlformats.org/officeDocument/2006/relationships/image" Target="media/image3.jpeg"/><Relationship Id="rId18" Type="http://schemas.openxmlformats.org/officeDocument/2006/relationships/hyperlink" Target="http://www.safety4sea.com/reports/tag-62265"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safety4sea.com/maritime-safety/tag-62300" TargetMode="External"/><Relationship Id="rId7" Type="http://schemas.openxmlformats.org/officeDocument/2006/relationships/hyperlink" Target="http://www.agcs.allianz.com/" TargetMode="External"/><Relationship Id="rId12" Type="http://schemas.openxmlformats.org/officeDocument/2006/relationships/hyperlink" Target="http://www.safety4sea.com/images/media/2015/Piracy_2014-_Allianz.jpg" TargetMode="External"/><Relationship Id="rId17" Type="http://schemas.openxmlformats.org/officeDocument/2006/relationships/hyperlink" Target="http://www.agcs.allianz.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safety4sea.com/shipping-industry/tag-62267"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afety4sea.com/fifty-years-of-container-ship-growth-23792" TargetMode="External"/><Relationship Id="rId24" Type="http://schemas.openxmlformats.org/officeDocument/2006/relationships/hyperlink" Target="http://www.safety4sea.com/passenger-ship-safety/tag-62303" TargetMode="External"/><Relationship Id="rId5" Type="http://schemas.openxmlformats.org/officeDocument/2006/relationships/webSettings" Target="webSettings.xml"/><Relationship Id="rId15" Type="http://schemas.openxmlformats.org/officeDocument/2006/relationships/hyperlink" Target="http://www.safety4sea.com/images/media/pdf/2015/Allianz-Shipping-Review-2015.pdf" TargetMode="External"/><Relationship Id="rId23" Type="http://schemas.openxmlformats.org/officeDocument/2006/relationships/hyperlink" Target="http://www.safety4sea.com/pirates-threat/tag-62302" TargetMode="External"/><Relationship Id="rId10" Type="http://schemas.openxmlformats.org/officeDocument/2006/relationships/image" Target="media/image2.jpeg"/><Relationship Id="rId19" Type="http://schemas.openxmlformats.org/officeDocument/2006/relationships/hyperlink" Target="http://www.safety4sea.com/maritime-security/tag-62266" TargetMode="External"/><Relationship Id="rId4" Type="http://schemas.openxmlformats.org/officeDocument/2006/relationships/settings" Target="settings.xml"/><Relationship Id="rId9" Type="http://schemas.openxmlformats.org/officeDocument/2006/relationships/hyperlink" Target="http://www.safety4sea.com/images/media/2015/Allianz-total_losses.jpg" TargetMode="External"/><Relationship Id="rId14" Type="http://schemas.openxmlformats.org/officeDocument/2006/relationships/image" Target="media/image4.jpeg"/><Relationship Id="rId22" Type="http://schemas.openxmlformats.org/officeDocument/2006/relationships/hyperlink" Target="http://www.safety4sea.com/polar-code/tag-62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Short</dc:creator>
  <cp:lastModifiedBy>Rod Short</cp:lastModifiedBy>
  <cp:revision>3</cp:revision>
  <dcterms:created xsi:type="dcterms:W3CDTF">2015-03-31T09:49:00Z</dcterms:created>
  <dcterms:modified xsi:type="dcterms:W3CDTF">2015-03-31T09:51:00Z</dcterms:modified>
</cp:coreProperties>
</file>